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Getting Boys Writing: NOTES - JO LUNN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6 Strategies to motivate and create enjoyment in writing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Getting boys to achieve and succeed in Writing  is the main goal.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 greatest gender difference in achievement is in Writing. Boys seem to be less ready to start writing than girls.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Fine motor skills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ab/>
        <w:t xml:space="preserve">Some boys lack the fine motor strength or control to be abel to hold a pen correctly.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Making Connections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Writing needs to be seen as a way of communicating with others. Boys need to be aware of this and be aware that as writers their writing has a greater audiences other than themselves.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Model and ask ‘why’ questions. So we can understand what the reader has written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Why do we need to leave spaces?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Why should I use punctuation?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 Why do i need to be specific?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Picture Prompts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Pictures are a great way to get boys particularly involved into writing. (At the start of a modelling session). Asks questions like - what do you see, think and wonder?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Give the students time to talk to their shoulder buddy.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Ask for ideas and reply with things like - is it okay if i borrow that idea, or, What a great idea!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Putting together collaborative stories.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Don’t worry about genres - get kids writing and loving it first.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Dumb it down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Explicit teaching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Picture learning intentions in their books - a visual reminder of what they are working on.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Talk about what makes a good writer.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Feedback and feedforward - relating to their own learning intentions.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Independence Licensed.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-link with writing stages. Innately competitive and goal orientated. Lisences are a huge motivation for boys.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Self assesment against the matrix. Upon ‘leveling up’ - make a huge fuss so it acts as motivation for others.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Lisence holders have other rewards and have proven to be an incentive to get boys writing.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Enthusiam-&gt;Competition -&gt; Motivation-&gt; Explicit Teaching-&gt; Success.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5" w:type="default"/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